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936"/>
        <w:gridCol w:w="2756"/>
        <w:gridCol w:w="6391"/>
      </w:tblGrid>
      <w:tr w:rsidR="005E1B29" w:rsidRPr="005E1B29" w:rsidTr="005E1B29">
        <w:trPr>
          <w:trHeight w:val="53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7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主辦單位</w:t>
            </w:r>
          </w:p>
        </w:tc>
        <w:tc>
          <w:tcPr>
            <w:tcW w:w="5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5E1B29" w:rsidRPr="005E1B29" w:rsidRDefault="005E1B29" w:rsidP="005E1B29">
            <w:pPr>
              <w:widowControl/>
              <w:spacing w:before="7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行政院勞</w:t>
            </w:r>
            <w:r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動部勞動力發展署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7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經濟部中小企業處</w:t>
            </w:r>
          </w:p>
        </w:tc>
      </w:tr>
      <w:tr w:rsidR="005E1B29" w:rsidRPr="005E1B29" w:rsidTr="005E1B29">
        <w:trPr>
          <w:trHeight w:val="88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名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 xml:space="preserve">     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稱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微型創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業鳯凰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就業保險失業者創業貸款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青年創業及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啟動金貸款</w:t>
            </w:r>
          </w:p>
        </w:tc>
      </w:tr>
      <w:tr w:rsidR="005E1B29" w:rsidRPr="005E1B29" w:rsidTr="005E1B29">
        <w:trPr>
          <w:trHeight w:val="966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對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 xml:space="preserve">    </w:t>
            </w:r>
            <w:proofErr w:type="gramStart"/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象</w:t>
            </w:r>
            <w:proofErr w:type="gramEnd"/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20-65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歲婦女</w:t>
            </w:r>
          </w:p>
          <w:p w:rsidR="005E1B29" w:rsidRPr="005E1B29" w:rsidRDefault="005E1B29" w:rsidP="005E1B29">
            <w:pPr>
              <w:widowControl/>
              <w:spacing w:before="67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45-65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歲中高齡國民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符合就業保險被保險人失業者身分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20-45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歲國民</w:t>
            </w:r>
          </w:p>
        </w:tc>
      </w:tr>
      <w:tr w:rsidR="005E1B29" w:rsidRPr="005E1B29" w:rsidTr="005E1B29">
        <w:trPr>
          <w:trHeight w:val="88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內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 xml:space="preserve">    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容</w:t>
            </w:r>
          </w:p>
        </w:tc>
        <w:tc>
          <w:tcPr>
            <w:tcW w:w="5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創業課程、諮詢輔導、貸款融資、利息補貼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 xml:space="preserve"> </w:t>
            </w:r>
          </w:p>
          <w:p w:rsidR="005E1B29" w:rsidRPr="005E1B29" w:rsidRDefault="005E1B29" w:rsidP="005E1B29">
            <w:pPr>
              <w:widowControl/>
              <w:spacing w:before="67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行銷協助、楷模選拔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無相關協助措施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 xml:space="preserve"> </w:t>
            </w:r>
          </w:p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 xml:space="preserve">( 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申請人須上過政府開辦之創業課程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20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小時以上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 xml:space="preserve">) </w:t>
            </w:r>
          </w:p>
        </w:tc>
      </w:tr>
      <w:tr w:rsidR="005E1B29" w:rsidRPr="005E1B29" w:rsidTr="005E1B29">
        <w:trPr>
          <w:trHeight w:val="1726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利率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郵政儲金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2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年固定利率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+0.575%</w:t>
            </w:r>
          </w:p>
          <w:p w:rsidR="005E1B29" w:rsidRPr="005E1B29" w:rsidRDefault="005E1B29" w:rsidP="005E1B29">
            <w:pPr>
              <w:widowControl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-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前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2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年免息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(1.95%)</w:t>
            </w:r>
          </w:p>
          <w:p w:rsidR="005E1B29" w:rsidRPr="005E1B29" w:rsidRDefault="005E1B29" w:rsidP="005E1B29">
            <w:pPr>
              <w:widowControl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-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特定對象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1.5%/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前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3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年免息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i/>
                <w:iCs/>
                <w:color w:val="083763"/>
                <w:kern w:val="24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1.5%</w:t>
            </w:r>
          </w:p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(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前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3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年免息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  <w:u w:val="single"/>
              </w:rPr>
              <w:t>)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i/>
                <w:iCs/>
                <w:color w:val="083763"/>
                <w:kern w:val="24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郵政儲金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2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年固定利率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 xml:space="preserve">+0.575%(1.95%) </w:t>
            </w:r>
          </w:p>
        </w:tc>
      </w:tr>
      <w:tr w:rsidR="005E1B29" w:rsidRPr="005E1B29" w:rsidTr="005E1B29">
        <w:trPr>
          <w:trHeight w:val="674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FFFFFF"/>
                <w:kern w:val="24"/>
                <w:sz w:val="20"/>
                <w:szCs w:val="20"/>
              </w:rPr>
              <w:t>送審單位</w:t>
            </w:r>
          </w:p>
        </w:tc>
        <w:tc>
          <w:tcPr>
            <w:tcW w:w="5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Times New Roman" w:eastAsia="微軟正黑體" w:hAnsi="微軟正黑體" w:cs="Times New Roman" w:hint="eastAsia"/>
                <w:b/>
                <w:bCs/>
                <w:color w:val="FFFFFF"/>
                <w:kern w:val="24"/>
                <w:sz w:val="20"/>
                <w:szCs w:val="20"/>
              </w:rPr>
              <w:t>向勞動部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FFFFFF"/>
                <w:kern w:val="24"/>
                <w:sz w:val="20"/>
                <w:szCs w:val="20"/>
              </w:rPr>
              <w:t>提出申請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FFFFFF"/>
                <w:kern w:val="24"/>
                <w:sz w:val="20"/>
                <w:szCs w:val="20"/>
              </w:rPr>
              <w:t>(7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FFFFFF"/>
                <w:kern w:val="24"/>
                <w:sz w:val="20"/>
                <w:szCs w:val="20"/>
              </w:rPr>
              <w:t>家銀行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FFFFFF"/>
                <w:kern w:val="24"/>
                <w:sz w:val="20"/>
                <w:szCs w:val="20"/>
              </w:rPr>
              <w:t xml:space="preserve">) 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FFFFFF"/>
                <w:kern w:val="24"/>
                <w:sz w:val="20"/>
                <w:szCs w:val="20"/>
              </w:rPr>
              <w:t>向金融機構提出申請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FFFFFF"/>
                <w:kern w:val="24"/>
                <w:sz w:val="20"/>
                <w:szCs w:val="20"/>
              </w:rPr>
              <w:t>(15</w:t>
            </w: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FFFFFF"/>
                <w:kern w:val="24"/>
                <w:sz w:val="20"/>
                <w:szCs w:val="20"/>
              </w:rPr>
              <w:t>家銀行</w:t>
            </w:r>
            <w:r w:rsidRPr="005E1B29">
              <w:rPr>
                <w:rFonts w:ascii="Times New Roman" w:eastAsia="微軟正黑體" w:hAnsi="Times New Roman" w:cs="Times New Roman"/>
                <w:b/>
                <w:bCs/>
                <w:color w:val="FFFFFF"/>
                <w:kern w:val="24"/>
                <w:sz w:val="20"/>
                <w:szCs w:val="20"/>
              </w:rPr>
              <w:t xml:space="preserve">) </w:t>
            </w:r>
          </w:p>
        </w:tc>
      </w:tr>
      <w:tr w:rsidR="005E1B29" w:rsidRPr="005E1B29" w:rsidTr="005E1B29">
        <w:trPr>
          <w:trHeight w:val="648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微軟正黑體" w:cs="Times New Roman" w:hint="eastAsia"/>
                <w:b/>
                <w:bCs/>
                <w:color w:val="083763"/>
                <w:kern w:val="24"/>
                <w:sz w:val="20"/>
                <w:szCs w:val="20"/>
              </w:rPr>
              <w:t>聯絡電話</w:t>
            </w:r>
          </w:p>
        </w:tc>
        <w:tc>
          <w:tcPr>
            <w:tcW w:w="5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0800-092-957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1B29" w:rsidRPr="005E1B29" w:rsidRDefault="005E1B29" w:rsidP="005E1B29">
            <w:pPr>
              <w:widowControl/>
              <w:spacing w:before="67"/>
              <w:jc w:val="center"/>
              <w:textAlignment w:val="baseline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E1B29">
              <w:rPr>
                <w:rFonts w:ascii="Times New Roman" w:eastAsia="微軟正黑體" w:hAnsi="Times New Roman" w:cs="Times New Roman"/>
                <w:b/>
                <w:bCs/>
                <w:color w:val="083763"/>
                <w:kern w:val="24"/>
                <w:sz w:val="20"/>
                <w:szCs w:val="20"/>
              </w:rPr>
              <w:t>0800-589-168</w:t>
            </w:r>
          </w:p>
        </w:tc>
      </w:tr>
    </w:tbl>
    <w:p w:rsidR="003B7010" w:rsidRDefault="003B7010"/>
    <w:sectPr w:rsidR="003B7010" w:rsidSect="005E1B2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29"/>
    <w:rsid w:val="003B7010"/>
    <w:rsid w:val="005E1B29"/>
    <w:rsid w:val="006C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B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B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SYNNEX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吳莉娟</cp:lastModifiedBy>
  <cp:revision>2</cp:revision>
  <dcterms:created xsi:type="dcterms:W3CDTF">2014-12-02T02:05:00Z</dcterms:created>
  <dcterms:modified xsi:type="dcterms:W3CDTF">2014-12-02T02:05:00Z</dcterms:modified>
</cp:coreProperties>
</file>